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91" w:rsidRDefault="00D91791" w:rsidP="00D91791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Wymagane parametry techniczne dla paneli fotowoltaicznych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D91791" w:rsidTr="00F04C15">
        <w:tc>
          <w:tcPr>
            <w:tcW w:w="534" w:type="dxa"/>
            <w:shd w:val="clear" w:color="auto" w:fill="95B3D7" w:themeFill="accent1" w:themeFillTint="99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Parametry wymagane</w:t>
            </w:r>
          </w:p>
        </w:tc>
        <w:tc>
          <w:tcPr>
            <w:tcW w:w="2441" w:type="dxa"/>
            <w:shd w:val="clear" w:color="auto" w:fill="95B3D7" w:themeFill="accent1" w:themeFillTint="99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Potwierdzenie spełnienia wymagań (TAK/NIE) lub oferowane parametry techniczne</w:t>
            </w:r>
          </w:p>
        </w:tc>
      </w:tr>
      <w:tr w:rsidR="00D91791" w:rsidTr="00F04C15">
        <w:trPr>
          <w:trHeight w:val="553"/>
        </w:trPr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Typ ogniw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Krzem monokrystaliczny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Moc modułu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b/>
                <w:bCs/>
                <w:sz w:val="24"/>
                <w:szCs w:val="24"/>
              </w:rPr>
              <w:t xml:space="preserve">Min.: 370 </w:t>
            </w:r>
            <w:proofErr w:type="spellStart"/>
            <w:r w:rsidRPr="00991496">
              <w:rPr>
                <w:rFonts w:ascii="Calibri" w:hAnsi="Calibri" w:cstheme="majorHAnsi"/>
                <w:b/>
                <w:bCs/>
                <w:sz w:val="24"/>
                <w:szCs w:val="24"/>
              </w:rPr>
              <w:t>Wp</w:t>
            </w:r>
            <w:proofErr w:type="spellEnd"/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 (standardowe warunki testu: napromieniowanie 1000 W/m2, temperatura ogniw 25 °C i współczynnik masy powietrza AM 1,5)</w:t>
            </w:r>
          </w:p>
        </w:tc>
        <w:tc>
          <w:tcPr>
            <w:tcW w:w="2441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Liczba ogniw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min. 60 (także technologia </w:t>
            </w:r>
            <w:proofErr w:type="spellStart"/>
            <w:r w:rsidRPr="00991496">
              <w:rPr>
                <w:rFonts w:ascii="Calibri" w:hAnsi="Calibri" w:cstheme="majorHAnsi"/>
                <w:sz w:val="24"/>
                <w:szCs w:val="24"/>
              </w:rPr>
              <w:t>Halfcut</w:t>
            </w:r>
            <w:proofErr w:type="spellEnd"/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, </w:t>
            </w:r>
            <w:proofErr w:type="spellStart"/>
            <w:r w:rsidRPr="00991496">
              <w:rPr>
                <w:rFonts w:ascii="Calibri" w:hAnsi="Calibri" w:cstheme="majorHAnsi"/>
                <w:sz w:val="24"/>
                <w:szCs w:val="24"/>
              </w:rPr>
              <w:t>Shingled</w:t>
            </w:r>
            <w:proofErr w:type="spellEnd"/>
            <w:r w:rsidRPr="00991496">
              <w:rPr>
                <w:rFonts w:ascii="Calibri" w:hAnsi="Calibri" w:cstheme="majorHAnsi"/>
                <w:sz w:val="24"/>
                <w:szCs w:val="24"/>
              </w:rPr>
              <w:t>, HIT)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Sprawność modułu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Min.: </w:t>
            </w:r>
            <w:r w:rsidRPr="00991496">
              <w:rPr>
                <w:rFonts w:ascii="Calibri" w:hAnsi="Calibri" w:cstheme="majorHAnsi"/>
                <w:b/>
                <w:bCs/>
                <w:sz w:val="24"/>
                <w:szCs w:val="24"/>
              </w:rPr>
              <w:t>20 %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 (standardowe warunki testu: napromieniowanie 1000 W/m2, temperatura ogniw 25 °C i współczynnik masy powietrza AM 1,5)</w:t>
            </w:r>
          </w:p>
        </w:tc>
        <w:tc>
          <w:tcPr>
            <w:tcW w:w="2441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Wiek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Na dzień montażu nie starsze niż 1 rok od daty produkcji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Szkło przednie z powłoką antyrefleksyjną</w:t>
            </w:r>
          </w:p>
        </w:tc>
        <w:tc>
          <w:tcPr>
            <w:tcW w:w="3119" w:type="dxa"/>
            <w:vAlign w:val="center"/>
          </w:tcPr>
          <w:p w:rsidR="00D91791" w:rsidRPr="00991496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-----------------------------------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Gwarancja na wady ukryte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Nie mniej niż 10 lat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Gwarancja na moc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Nie krótsza niż 25 lat;</w:t>
            </w:r>
          </w:p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g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>warancja liniowa -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>spadek sprawności po 25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>latach nie większy niż do 80%,</w:t>
            </w:r>
          </w:p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z uwzględnieniem maksymalnego spadku</w:t>
            </w: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po pierwszym roku nie większym niż 3%.</w:t>
            </w:r>
          </w:p>
        </w:tc>
        <w:tc>
          <w:tcPr>
            <w:tcW w:w="2441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</w:tbl>
    <w:p w:rsidR="00D91791" w:rsidRDefault="00D91791" w:rsidP="00D91791">
      <w:pPr>
        <w:spacing w:after="0"/>
        <w:jc w:val="center"/>
        <w:rPr>
          <w:b/>
          <w:sz w:val="24"/>
          <w:szCs w:val="24"/>
        </w:rPr>
      </w:pPr>
    </w:p>
    <w:p w:rsidR="002B270A" w:rsidRDefault="002B270A" w:rsidP="002B270A">
      <w:pPr>
        <w:jc w:val="center"/>
        <w:rPr>
          <w:b/>
        </w:rPr>
      </w:pPr>
    </w:p>
    <w:p w:rsidR="00BB19F1" w:rsidRDefault="00BB19F1" w:rsidP="00D91791">
      <w:pPr>
        <w:spacing w:after="0"/>
        <w:jc w:val="center"/>
        <w:rPr>
          <w:b/>
          <w:sz w:val="24"/>
          <w:szCs w:val="24"/>
        </w:rPr>
      </w:pPr>
    </w:p>
    <w:p w:rsidR="00D91791" w:rsidRDefault="00D91791" w:rsidP="00D917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techniczne dla Inwertera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D91791" w:rsidTr="00F04C15">
        <w:tc>
          <w:tcPr>
            <w:tcW w:w="534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Parametry wymagane</w:t>
            </w:r>
          </w:p>
        </w:tc>
        <w:tc>
          <w:tcPr>
            <w:tcW w:w="2441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Potwierdzenie spełnienia wymagań (TAK/NIE) lub oferowane parametry techniczne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Typ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Beztransformatorowy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48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Liczba zasilanych faz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Trójfazowy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9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Sprawność euro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Powyżej 96%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65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Stopień ochrony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min. IP 65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Deklaracja zgodności z Dyrektywą 2014/35/UE Dyrektywą 2014/30/UE</w:t>
            </w:r>
          </w:p>
        </w:tc>
        <w:tc>
          <w:tcPr>
            <w:tcW w:w="3119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</w:p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 xml:space="preserve">---------------------- </w:t>
            </w:r>
          </w:p>
        </w:tc>
        <w:tc>
          <w:tcPr>
            <w:tcW w:w="2441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Zgodność z normami</w:t>
            </w:r>
            <w:r w:rsidRPr="00C22A8F">
              <w:rPr>
                <w:rFonts w:ascii="Calibri" w:hAnsi="Calibri" w:cstheme="majorHAnsi"/>
                <w:sz w:val="24"/>
                <w:szCs w:val="24"/>
              </w:rPr>
              <w:tab/>
              <w:t>PN-EN 61000-3-12  oraz</w:t>
            </w: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PN-EN 61000-3-11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</w:t>
            </w:r>
          </w:p>
        </w:tc>
        <w:tc>
          <w:tcPr>
            <w:tcW w:w="2441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 xml:space="preserve">Deklaracja zgodności z Dyrektywą 2011/631 – NC </w:t>
            </w:r>
            <w:proofErr w:type="spellStart"/>
            <w:r w:rsidRPr="00C22A8F">
              <w:rPr>
                <w:rFonts w:ascii="Calibri" w:hAnsi="Calibri" w:cstheme="majorHAnsi"/>
                <w:sz w:val="24"/>
                <w:szCs w:val="24"/>
              </w:rPr>
              <w:t>Rfg</w:t>
            </w:r>
            <w:proofErr w:type="spellEnd"/>
            <w:r w:rsidRPr="00C22A8F">
              <w:rPr>
                <w:rFonts w:ascii="Calibri" w:hAnsi="Calibri" w:cstheme="majorHAnsi"/>
                <w:sz w:val="24"/>
                <w:szCs w:val="24"/>
              </w:rPr>
              <w:t>, deklaracja zgodności z normami EN50549-12019 oraz EN-50549-2-2019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</w:t>
            </w:r>
          </w:p>
        </w:tc>
        <w:tc>
          <w:tcPr>
            <w:tcW w:w="2441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Świadectwo zgodności z normą EN 50438:2013 lub PN-EN 50438:2014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Komunikacja przewodowa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Komunikacja bezprzewodowa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Automatyczne powiadamianie o błędach systemowych instalacji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Obsługa portalu dostępowego w języku polskim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9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Gwarancja na wady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Nie mniej niż 10 lat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</w:tbl>
    <w:p w:rsidR="006967FC" w:rsidRDefault="0016049F"/>
    <w:sectPr w:rsidR="006967FC" w:rsidSect="00B770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1"/>
    <w:rsid w:val="0016049F"/>
    <w:rsid w:val="002B270A"/>
    <w:rsid w:val="0030563B"/>
    <w:rsid w:val="003F4174"/>
    <w:rsid w:val="00417CE8"/>
    <w:rsid w:val="00B7701F"/>
    <w:rsid w:val="00BB19F1"/>
    <w:rsid w:val="00D91791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dcterms:created xsi:type="dcterms:W3CDTF">2022-09-30T14:23:00Z</dcterms:created>
  <dcterms:modified xsi:type="dcterms:W3CDTF">2022-10-03T09:44:00Z</dcterms:modified>
</cp:coreProperties>
</file>